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36"/>
      </w:tblGrid>
      <w:tr w:rsidR="00AD0BED" w:rsidTr="00AD0BED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D0BED" w:rsidRDefault="00AD0BED" w:rsidP="00AD0BED">
            <w:pPr>
              <w:pStyle w:val="3"/>
            </w:pPr>
            <w:r>
              <w:t xml:space="preserve">Счетчики газа бытовые квартирные „Гранд“ </w:t>
            </w:r>
          </w:p>
          <w:p w:rsidR="00AD0BED" w:rsidRDefault="00AD0BED" w:rsidP="00AD0BED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2" name="Рисунок 2" descr="Счетчики газа Счетчики газа бытовые квартирные &amp;bdquo;Гранд&amp;ldquo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четчики газа Счетчики газа бытовые квартирные &amp;bdquo;Гранд&amp;ldquo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Счетчик газа предназначен для измерения объема газа, паров сжиженного газа или других </w:t>
            </w:r>
            <w:hyperlink r:id="rId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857250" cy="1219200"/>
                    <wp:effectExtent l="19050" t="0" r="0" b="0"/>
                    <wp:wrapSquare wrapText="bothSides"/>
                    <wp:docPr id="3" name="Рисунок 3" descr="Гранд счетчик газа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Гранд счетчик газа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0" cy="121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>
              <w:br/>
              <w:t xml:space="preserve">неагрессивных газов при учете потребления газа индивидуальными потребителями. </w:t>
            </w:r>
            <w:r>
              <w:br/>
              <w:t xml:space="preserve">Основная нагрузка: 4-х </w:t>
            </w:r>
            <w:proofErr w:type="spellStart"/>
            <w:r>
              <w:t>комфорочные</w:t>
            </w:r>
            <w:proofErr w:type="spellEnd"/>
            <w:r>
              <w:t xml:space="preserve"> газовые плиты с духовкой. </w:t>
            </w:r>
            <w:r>
              <w:br/>
              <w:t>Счетчик эксплуатируется при температуре окружающего воздуха от минус 10</w:t>
            </w:r>
            <w:proofErr w:type="gramStart"/>
            <w:r>
              <w:t>°С</w:t>
            </w:r>
            <w:proofErr w:type="gramEnd"/>
            <w:r>
              <w:t xml:space="preserve"> до 50°С, относительной влажности воздуха не более 95% при температуре 35°С.</w:t>
            </w:r>
            <w:r>
              <w:br/>
              <w:t>Интервал между поверками — не более 12 лет.</w:t>
            </w:r>
          </w:p>
          <w:p w:rsidR="00AD0BED" w:rsidRDefault="00AD0BED" w:rsidP="00AD0BED">
            <w:pPr>
              <w:pStyle w:val="a3"/>
            </w:pPr>
            <w:hyperlink r:id="rId8" w:history="1">
              <w:r>
                <w:rPr>
                  <w:rStyle w:val="a5"/>
                </w:rPr>
                <w:t>Технические характеристики Гранд.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1134"/>
              <w:gridCol w:w="2126"/>
              <w:gridCol w:w="1845"/>
            </w:tblGrid>
            <w:tr w:rsidR="00AD0BED" w:rsidTr="00AD0BE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</w:p>
              </w:tc>
              <w:tc>
                <w:tcPr>
                  <w:tcW w:w="2096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Присоединение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Гранд 4</w:t>
                  </w:r>
                </w:p>
              </w:tc>
              <w:tc>
                <w:tcPr>
                  <w:tcW w:w="110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096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G 3/4; G 1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3290.00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Гранд 4 ТК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096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G 3/4; G 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3510.00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Гранд 6 ТК</w:t>
                  </w:r>
                </w:p>
              </w:tc>
              <w:tc>
                <w:tcPr>
                  <w:tcW w:w="110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096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G 1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3730.00</w:t>
                  </w:r>
                </w:p>
              </w:tc>
            </w:tr>
          </w:tbl>
          <w:p w:rsidR="00AD0BED" w:rsidRDefault="00AD0BED"/>
          <w:p w:rsidR="00AD0BED" w:rsidRDefault="00AD0BED" w:rsidP="00AD0BED">
            <w:pPr>
              <w:pStyle w:val="3"/>
            </w:pPr>
            <w:r>
              <w:t xml:space="preserve">Счетчики газовые бытовые </w:t>
            </w:r>
            <w:proofErr w:type="spellStart"/>
            <w:r>
              <w:t>Элехант</w:t>
            </w:r>
            <w:proofErr w:type="spellEnd"/>
          </w:p>
          <w:p w:rsidR="00AD0BED" w:rsidRDefault="00AD0BED" w:rsidP="00AD0BED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1428750"/>
                  <wp:effectExtent l="19050" t="0" r="0" b="0"/>
                  <wp:wrapSquare wrapText="bothSides"/>
                  <wp:docPr id="4" name="Рисунок 4" descr="Счетчики газа Счетчики газовые бытовые Элех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четчики газа Счетчики газовые бытовые Элех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Счетчик газа бытовой СГБ-1,8 </w:t>
            </w:r>
            <w:proofErr w:type="spellStart"/>
            <w:r>
              <w:t>Элехант</w:t>
            </w:r>
            <w:proofErr w:type="spellEnd"/>
            <w:r>
              <w:t xml:space="preserve"> предназначен для измерения объема </w:t>
            </w:r>
            <w:proofErr w:type="spellStart"/>
            <w:r>
              <w:t>сжиженого</w:t>
            </w:r>
            <w:proofErr w:type="spellEnd"/>
            <w:r>
              <w:t xml:space="preserve"> углеводородного газа и природного газа </w:t>
            </w:r>
            <w:proofErr w:type="spellStart"/>
            <w:r>
              <w:t>идивидуальными</w:t>
            </w:r>
            <w:proofErr w:type="spellEnd"/>
            <w:r>
              <w:t xml:space="preserve"> потребителями.</w:t>
            </w:r>
            <w:r>
              <w:br/>
              <w:t>Интервал между поверками — не более 12 лет.</w:t>
            </w:r>
          </w:p>
          <w:p w:rsidR="00AD0BED" w:rsidRDefault="00AD0BED" w:rsidP="00AD0BED">
            <w:pPr>
              <w:spacing w:after="0"/>
            </w:pP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1134"/>
              <w:gridCol w:w="1985"/>
              <w:gridCol w:w="1845"/>
            </w:tblGrid>
            <w:tr w:rsidR="00AD0BED" w:rsidTr="00AD0BED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</w:p>
              </w:tc>
              <w:tc>
                <w:tcPr>
                  <w:tcW w:w="1955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Присоединение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c</w:t>
                  </w:r>
                  <w:proofErr w:type="gramEnd"/>
                  <w:r>
                    <w:t>четчик</w:t>
                  </w:r>
                  <w:proofErr w:type="spellEnd"/>
                  <w:r>
                    <w:t xml:space="preserve"> газа СГБ-1,8 </w:t>
                  </w:r>
                  <w:proofErr w:type="spellStart"/>
                  <w:r>
                    <w:t>Элехант</w:t>
                  </w:r>
                  <w:proofErr w:type="spellEnd"/>
                </w:p>
              </w:tc>
              <w:tc>
                <w:tcPr>
                  <w:tcW w:w="110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1,8</w:t>
                  </w:r>
                </w:p>
              </w:tc>
              <w:tc>
                <w:tcPr>
                  <w:tcW w:w="1955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1620.00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c</w:t>
                  </w:r>
                  <w:proofErr w:type="gramEnd"/>
                  <w:r>
                    <w:t>четчик</w:t>
                  </w:r>
                  <w:proofErr w:type="spellEnd"/>
                  <w:r>
                    <w:t xml:space="preserve"> газа СГБ-3,2 </w:t>
                  </w:r>
                  <w:proofErr w:type="spellStart"/>
                  <w:r>
                    <w:t>Элехант</w:t>
                  </w:r>
                  <w:proofErr w:type="spellEnd"/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3,2</w:t>
                  </w:r>
                </w:p>
              </w:tc>
              <w:tc>
                <w:tcPr>
                  <w:tcW w:w="1955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1750.00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t>c</w:t>
                  </w:r>
                  <w:proofErr w:type="gramEnd"/>
                  <w:r>
                    <w:t>четчик</w:t>
                  </w:r>
                  <w:proofErr w:type="spellEnd"/>
                  <w:r>
                    <w:t xml:space="preserve"> газа СГБ-4 </w:t>
                  </w:r>
                  <w:proofErr w:type="spellStart"/>
                  <w:r>
                    <w:t>Элехант</w:t>
                  </w:r>
                  <w:proofErr w:type="spellEnd"/>
                </w:p>
              </w:tc>
              <w:tc>
                <w:tcPr>
                  <w:tcW w:w="1104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955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2300.00</w:t>
                  </w:r>
                </w:p>
              </w:tc>
            </w:tr>
          </w:tbl>
          <w:p w:rsidR="00AD0BED" w:rsidRDefault="00AD0BED"/>
          <w:p w:rsidR="00AD0BED" w:rsidRDefault="00AD0BED" w:rsidP="00AD0BED">
            <w:pPr>
              <w:pStyle w:val="3"/>
            </w:pPr>
            <w:r>
              <w:t xml:space="preserve">Счетчики газа бытовые РЛ G4/G6 </w:t>
            </w:r>
          </w:p>
          <w:p w:rsidR="00AD0BED" w:rsidRDefault="00AD0BED" w:rsidP="00AD0BED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28725" cy="1143000"/>
                  <wp:effectExtent l="19050" t="0" r="9525" b="0"/>
                  <wp:wrapSquare wrapText="bothSides"/>
                  <wp:docPr id="5" name="Рисунок 5" descr="Счетчики газа Счетчики газа бытовые РЛ G4/G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четчики газа Счетчики газа бытовые РЛ G4/G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Счетчики газа РЛ G4/G6 роторного типа с механическим счетным устройством </w:t>
            </w:r>
            <w:r>
              <w:br/>
              <w:t xml:space="preserve">применяются для измерения объема природного газа транспортируемого по </w:t>
            </w:r>
            <w:r>
              <w:br/>
              <w:t xml:space="preserve">трубопроводам в системах газоснабжения (газораспределения). </w:t>
            </w:r>
            <w:r>
              <w:br/>
              <w:t>Температура окружающей и измеряемой среды от -25 до +50</w:t>
            </w:r>
            <w:proofErr w:type="gramStart"/>
            <w:r>
              <w:t xml:space="preserve"> °С</w:t>
            </w:r>
            <w:proofErr w:type="gramEnd"/>
            <w:r>
              <w:t xml:space="preserve">; </w:t>
            </w:r>
            <w:r>
              <w:br/>
              <w:t xml:space="preserve">Средний срок службы — 20 лет, </w:t>
            </w:r>
            <w:r>
              <w:br/>
              <w:t xml:space="preserve">Интервал между поверками — 5лет. </w:t>
            </w:r>
            <w:r>
              <w:br/>
              <w:t xml:space="preserve">Установка на трубопровод — вертикальная, направление потока газа </w:t>
            </w:r>
            <w:proofErr w:type="gramStart"/>
            <w:r>
              <w:t>-с</w:t>
            </w:r>
            <w:proofErr w:type="gramEnd"/>
            <w:r>
              <w:t>верху вниз.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992"/>
              <w:gridCol w:w="992"/>
              <w:gridCol w:w="1845"/>
            </w:tblGrid>
            <w:tr w:rsidR="00AD0BED" w:rsidTr="00AD0BED">
              <w:trPr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Qmin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783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G4 РЛ (с патрубком)</w:t>
                  </w:r>
                </w:p>
              </w:tc>
              <w:tc>
                <w:tcPr>
                  <w:tcW w:w="962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0,06</w:t>
                  </w:r>
                </w:p>
              </w:tc>
              <w:tc>
                <w:tcPr>
                  <w:tcW w:w="962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2300.00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783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G6 РЛ (с патрубком)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0,08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2300.00</w:t>
                  </w:r>
                </w:p>
              </w:tc>
            </w:tr>
          </w:tbl>
          <w:p w:rsidR="00AD0BED" w:rsidRDefault="00AD0BED"/>
          <w:p w:rsidR="00AD0BED" w:rsidRDefault="00AD0BED" w:rsidP="00AD0BED">
            <w:pPr>
              <w:pStyle w:val="3"/>
            </w:pPr>
            <w:r>
              <w:t>Счетчики (расходомер) газа промышленные Гранд</w:t>
            </w:r>
          </w:p>
          <w:p w:rsidR="00AD0BED" w:rsidRDefault="00AD0BED" w:rsidP="00AD0BED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6" name="Рисунок 6" descr="Счетчики газа Счетчики (расходомер) газа промышленные Гра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четчики газа Счетчики (расходомер) газа промышленные Гра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Счетчики газа (</w:t>
            </w:r>
            <w:proofErr w:type="spellStart"/>
            <w:r>
              <w:t>рсходомеры</w:t>
            </w:r>
            <w:proofErr w:type="spellEnd"/>
            <w:r>
              <w:t xml:space="preserve">) промышленные 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серии GFG предназначены для измерений объемного расхода газа транспортируемого по трубопроводам в системах газоснабжения (газораспределения). Счетчики газа используются</w:t>
            </w:r>
            <w:r>
              <w:br/>
              <w:t>для работы в составе автоматизированных систем коммерческого учета газа (природного газа, воздуха, азота, инертных и других неагрессивных газов) на различных промышленных объектах и объектах коммунального хозяйства.</w:t>
            </w:r>
          </w:p>
          <w:p w:rsidR="00AD0BED" w:rsidRDefault="00AD0BED" w:rsidP="00AD0BED">
            <w:pPr>
              <w:pStyle w:val="a3"/>
            </w:pPr>
            <w:hyperlink r:id="rId12" w:history="1">
              <w:r>
                <w:rPr>
                  <w:rStyle w:val="a5"/>
                </w:rPr>
                <w:t>Технические характеристики.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1417"/>
              <w:gridCol w:w="1845"/>
            </w:tblGrid>
            <w:tr w:rsidR="00AD0BED" w:rsidTr="00AD0BED">
              <w:trPr>
                <w:tblCellSpacing w:w="15" w:type="dxa"/>
              </w:trPr>
              <w:tc>
                <w:tcPr>
                  <w:tcW w:w="4775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 xml:space="preserve">расходомер газа Гранд </w:t>
                  </w:r>
                  <w:proofErr w:type="spellStart"/>
                  <w:r>
                    <w:t>Turbo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Flow</w:t>
                  </w:r>
                  <w:proofErr w:type="spellEnd"/>
                  <w:r>
                    <w:t xml:space="preserve"> серии GFG-F</w:t>
                  </w:r>
                </w:p>
              </w:tc>
              <w:tc>
                <w:tcPr>
                  <w:tcW w:w="1387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10-300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</w:tbl>
          <w:p w:rsidR="00AD0BED" w:rsidRDefault="00AD0BED"/>
          <w:p w:rsidR="00AD0BED" w:rsidRDefault="00AD0BED" w:rsidP="00AD0BED">
            <w:pPr>
              <w:pStyle w:val="3"/>
            </w:pPr>
            <w:r>
              <w:t>Счетчики газа СГК</w:t>
            </w:r>
            <w:proofErr w:type="gramStart"/>
            <w:r>
              <w:t>4</w:t>
            </w:r>
            <w:proofErr w:type="gramEnd"/>
            <w:r>
              <w:t xml:space="preserve">/СГБ </w:t>
            </w:r>
          </w:p>
          <w:p w:rsidR="00AD0BED" w:rsidRDefault="00AD0BED" w:rsidP="00AD0BED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076325"/>
                  <wp:effectExtent l="0" t="0" r="0" b="0"/>
                  <wp:wrapSquare wrapText="bothSides"/>
                  <wp:docPr id="7" name="Рисунок 7" descr="Счетчики газа Счетчики газа СГК4/СГ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четчики газа Счетчики газа СГК4/СГ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Счетчик газа камерный предназначен для измерения прошедшего через счетчик природного, сжиженного и других неагрессивных газов, для применения в жилищно-коммунальном хозяйстве, а также в других сферах деятельности, требующих учета потребления газа.</w:t>
            </w:r>
          </w:p>
          <w:p w:rsidR="00AD0BED" w:rsidRDefault="00AD0BED" w:rsidP="00AD0BED">
            <w:pPr>
              <w:spacing w:after="0"/>
            </w:pP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992"/>
              <w:gridCol w:w="851"/>
              <w:gridCol w:w="1843"/>
              <w:gridCol w:w="1845"/>
            </w:tblGrid>
            <w:tr w:rsidR="00AD0BED" w:rsidTr="00AD0BED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Qmin</w:t>
                  </w:r>
                  <w:proofErr w:type="spellEnd"/>
                </w:p>
              </w:tc>
              <w:tc>
                <w:tcPr>
                  <w:tcW w:w="821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Qmax</w:t>
                  </w:r>
                  <w:proofErr w:type="spellEnd"/>
                </w:p>
              </w:tc>
              <w:tc>
                <w:tcPr>
                  <w:tcW w:w="1813" w:type="dxa"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Присоединение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D0BED" w:rsidRDefault="00AD0BED" w:rsidP="00AD0BE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СГК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G4 (Владимир)</w:t>
                  </w:r>
                </w:p>
              </w:tc>
              <w:tc>
                <w:tcPr>
                  <w:tcW w:w="962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0,04</w:t>
                  </w:r>
                </w:p>
              </w:tc>
              <w:tc>
                <w:tcPr>
                  <w:tcW w:w="821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1813" w:type="dxa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М30х2</w:t>
                  </w:r>
                </w:p>
              </w:tc>
              <w:tc>
                <w:tcPr>
                  <w:tcW w:w="0" w:type="auto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1200.00</w:t>
                  </w:r>
                </w:p>
              </w:tc>
            </w:tr>
            <w:tr w:rsidR="00AD0BED" w:rsidTr="00AD0BED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счетчик газа СГБ G4-1 (Энгельс)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0,04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1813" w:type="dxa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М33х1,5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D0BED" w:rsidRDefault="00AD0BED">
                  <w:pPr>
                    <w:rPr>
                      <w:sz w:val="24"/>
                      <w:szCs w:val="24"/>
                    </w:rPr>
                  </w:pPr>
                  <w:r>
                    <w:t>1750.00</w:t>
                  </w:r>
                </w:p>
              </w:tc>
            </w:tr>
          </w:tbl>
          <w:p w:rsidR="00AD0BED" w:rsidRDefault="00AD0BED">
            <w:pPr>
              <w:rPr>
                <w:sz w:val="24"/>
                <w:szCs w:val="24"/>
              </w:rPr>
            </w:pPr>
          </w:p>
        </w:tc>
      </w:tr>
      <w:tr w:rsidR="00AD0BED" w:rsidTr="00AD0B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BED" w:rsidRDefault="00AD0B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0BED" w:rsidRDefault="00AD0BED">
            <w:pPr>
              <w:rPr>
                <w:sz w:val="24"/>
                <w:szCs w:val="24"/>
              </w:rPr>
            </w:pPr>
          </w:p>
        </w:tc>
      </w:tr>
    </w:tbl>
    <w:p w:rsidR="00734EDC" w:rsidRPr="00AD0BED" w:rsidRDefault="00734EDC" w:rsidP="00AD0BED"/>
    <w:sectPr w:rsidR="00734EDC" w:rsidRPr="00AD0BED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94B41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AD0BED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tech/pasport_grand_1,6_1,5.pdf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udmsnab.ru/files/Promyishlennyiy_schetchik_gaz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snab.ru/info/setchik_gaza_grand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2017-03-13T09:16:00Z</dcterms:created>
  <dcterms:modified xsi:type="dcterms:W3CDTF">2017-03-13T09:16:00Z</dcterms:modified>
</cp:coreProperties>
</file>